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8E720A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  <w:t>МКУ «Межпоселенческая библиотека» Олекминского района РС(Я)</w:t>
      </w:r>
    </w:p>
    <w:p w:rsidR="008E720A" w:rsidRDefault="008E720A" w:rsidP="008E720A">
      <w:pPr>
        <w:shd w:val="clear" w:color="auto" w:fill="FFFFFF"/>
        <w:spacing w:after="255" w:line="240" w:lineRule="auto"/>
        <w:ind w:left="-567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E72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Центр правовой информации </w:t>
      </w:r>
    </w:p>
    <w:p w:rsidR="008E720A" w:rsidRPr="008E720A" w:rsidRDefault="008E720A" w:rsidP="008E720A">
      <w:pPr>
        <w:shd w:val="clear" w:color="auto" w:fill="FFFFFF"/>
        <w:spacing w:after="255" w:line="240" w:lineRule="auto"/>
        <w:ind w:left="-567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E72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и общественного доступа</w:t>
      </w: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E720A">
        <w:rPr>
          <w:rFonts w:ascii="Arial" w:hAnsi="Arial" w:cs="Arial"/>
          <w:noProof/>
          <w:color w:val="747E89"/>
          <w:sz w:val="35"/>
          <w:szCs w:val="35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1CCE6F7" wp14:editId="6CC55EE7">
            <wp:simplePos x="0" y="0"/>
            <wp:positionH relativeFrom="column">
              <wp:posOffset>-86995</wp:posOffset>
            </wp:positionH>
            <wp:positionV relativeFrom="paragraph">
              <wp:posOffset>768985</wp:posOffset>
            </wp:positionV>
            <wp:extent cx="5817235" cy="3716655"/>
            <wp:effectExtent l="0" t="0" r="0" b="0"/>
            <wp:wrapSquare wrapText="bothSides"/>
            <wp:docPr id="1" name="Рисунок 1" descr="C:\Users\Msarinsa\Desktop\2022 год\Информационные буклеты\м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rinsa\Desktop\2022 год\Информационные буклеты\мар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Default="008E720A" w:rsidP="008E720A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8E720A" w:rsidRPr="00D64D17" w:rsidRDefault="008E720A" w:rsidP="008E720A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</w:pPr>
      <w:r w:rsidRPr="00D64D17">
        <w:rPr>
          <w:rFonts w:ascii="Arial" w:eastAsia="Times New Roman" w:hAnsi="Arial" w:cs="Arial"/>
          <w:b/>
          <w:bCs/>
          <w:kern w:val="36"/>
          <w:sz w:val="45"/>
          <w:szCs w:val="45"/>
          <w:lang w:eastAsia="ru-RU"/>
        </w:rPr>
        <w:t>Олёкминск, 2022 г</w:t>
      </w:r>
    </w:p>
    <w:p w:rsidR="008E720A" w:rsidRDefault="008E720A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</w:p>
    <w:p w:rsidR="00247948" w:rsidRPr="00D64D17" w:rsidRDefault="00247948" w:rsidP="00247948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</w:pPr>
      <w:r w:rsidRPr="00D64D17">
        <w:rPr>
          <w:rFonts w:ascii="Arial" w:eastAsia="Times New Roman" w:hAnsi="Arial" w:cs="Arial"/>
          <w:b/>
          <w:bCs/>
          <w:color w:val="000000" w:themeColor="text1"/>
          <w:kern w:val="36"/>
          <w:sz w:val="45"/>
          <w:szCs w:val="45"/>
          <w:lang w:eastAsia="ru-RU"/>
        </w:rPr>
        <w:t xml:space="preserve">Что изменится в России с 1 марта: </w:t>
      </w:r>
    </w:p>
    <w:p w:rsidR="00863367" w:rsidRPr="00863367" w:rsidRDefault="00863367" w:rsidP="0086336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редставляет подборку важных законов и правил, которые заработают в марте 2022 года и коснутся многих россиян.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Индексация пенсий военным пенсионерам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Пенсии военным пенсионерам и приравненным к ним лицам будут проиндексированы выше уровня инфляции — на 8,6%. Соответствующее поручение было</w:t>
      </w:r>
      <w:hyperlink r:id="rId5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 дано президентом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РФ. Закон будет иметь обратную силу: пенсии пересчитают с 1 января 2022 года.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 аналогичным образом были проиндексированы пенсии гражданских неработающих пенсионеров.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"Принятое решение позволит проиндексировать выше уровня инфляции прошлого года пенсии военных пенсионеров и приравненных к ним лиц, в том числе служивших в органах внутренних дел, Росгвардии, МЧС и других силовых структурах. Закон касается около 2,6 млн человек — их пенсии будут пересчитаны с 1 января 2022 года", — отмечал ранее председатель Государственной думы Вячеслав Володин.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Ужесточение контроля за оборотом оружия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марта</w:t>
      </w:r>
      <w:hyperlink r:id="rId6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 запрещено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приобретение, хранение, ношение и использование оружия тем, кто не прошел медосвидетельствование на наличие противопоказаний. В него войдет психиатрическое освидетельствование, анализы на наркотические и психотропные вещества.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первую очередь изменения коснутся порядка прохождения медицинского освидетельствования, которое позволит определить, имеются ли у гражданина медицинские противопоказания к владению оружием. Основным отличием от ныне действующего порядка станет обязательное прохождение такого обследования в медицинских учреждениях государственной или муниципальной системы здравоохранения. Такая медкомиссия должна проводиться раз в пять лет: проходить ее будут как впервые приобретающие оружие, так и владельцы оружия, в том числе наградного (за исключением военных). О выявлении, в том числе внеплановом, у гражданина заболеваний, входящих в перечень, Росгвардия буд</w:t>
      </w:r>
      <w:bookmarkStart w:id="0" w:name="_GoBack"/>
      <w:bookmarkEnd w:id="0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проинформирована в электронном виде, а владелец оружия должен будет незамедлительно сдать лицензию (разрешение) и оружие в Росгвардию. Предлагается также вести электронный учет патронов, оружия и его владельцев в государственной информационной системе (ГИС) Росгвардии.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отмечал председатель Госдумы Вячеслав Володин, такие меры не позволят зарегистрировать оружие человеку с неустойчивой психикой.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"Справки покупают, обращаться с оружием не умеют, человек сам может пострадать от этого оружия. Новый порядок не позволит взять в руки оружие и тем более зарегистрировать его", — подчеркивал он.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Запрет на использование ГМО и методов генной инженерии в сельском хозяйстве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марта </w:t>
      </w:r>
      <w:hyperlink r:id="rId7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вступает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силу закон, который запрещает применять в сельском хозяйстве клонирование и методы генной инженерии, ГМО и трансгенные организмы, а также ионизирующее излучение. Часть требований касается упаковки, использования пищевых добавок, удобрений, ароматизаторов и усилителей вкуса. В отличие от органических продуктов, при производстве "зеленых" продуктов можно применять интенсивные, 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максимально безопасные </w:t>
      </w: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агротехнологии. "Зеленая" продукция будет отмечаться специальным знаком. Сертификация будет добровольной (федеральный </w:t>
      </w:r>
      <w:hyperlink r:id="rId8" w:anchor="Wv9hWxSKG2Rb1l3u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закон №159-ФЗ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сельскохозяйственной продукции, сырье и продовольствии с улучшенными характеристиками").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Личные фонды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марта в России </w:t>
      </w:r>
      <w:hyperlink r:id="rId9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появится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новая организационно-правовая форма юридического лица — личный фонд. Граждане смогут создавать прижизненные личные фонды для управления имуществом и бизнесом, контролировать процесс создания фонда, отрегулировать его деятельность и минимизировать возможные риски. 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Личный фонд также может создать нотариус после смерти гражданина в соответствии с завещанием — тогда он будет наследственным. ​​​​​​​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Учредитель должен передать фонду имущество на сумму не менее 100 млн рублей. По общему правилу замена учредителя фонда и соучредительство не допускаются. Фонд вправе заниматься предпринимательской деятельностью, создавать хозяйственные общества и участвовать в них. Предусмотрена субсидиарная ответственность личного фонда по обязательствам учредителя в течение трех лет с создания (федеральный закон №287-ФЗ "О внесении изменений в части первую и третью Гражданского кодекса РФ").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Трудоустройство людей с инвалидностью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Работодателям, у которых численность сотрудников превышает 100 человек, законодательством субъекта Российской Федерации </w:t>
      </w:r>
      <w:hyperlink r:id="rId10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устанавливается квота 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приема на работу людей с инвалидностью в размере от 2 до 4% от среднесписочной численности работников. 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работодателей, у которых численность работников составляет от 35 до 100 человек включительно, квота будет не более 3%.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Изменения в Трудовом кодексе </w:t>
      </w:r>
      <w:proofErr w:type="gramStart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Вступают</w:t>
      </w:r>
      <w:proofErr w:type="gramEnd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многочисленные изменения в Трудовом кодексе Российской Федерации, направленные на предупреждение травматизма на производстве и профзаболеваний. Он вводит новые понятия, права и обязанности для работодателей и работников. В частности, закреплены </w:t>
      </w: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основные принципы обеспечения безопасных условий труда, запрет на работу в опасных условиях и право работника на получение информации об условиях и охране труда.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Ответственность за отсутствие диагностической карты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марта штраф за управление автомобилем без диагностической карты будет равен 2 тыс. рублей. В течение суток с первого нарушения за последующие штрафовать не будут. </w:t>
      </w:r>
      <w:hyperlink r:id="rId11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Закон касается тех водителей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для которых техосмотр остался обязательным: для автобусов, такси, учебных и грузовых машин, машин со </w:t>
      </w:r>
      <w:proofErr w:type="spellStart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спецсигналами</w:t>
      </w:r>
      <w:proofErr w:type="spellEnd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легковых автомобилей и мотоциклов при регистрации после внесения изменений в конструкцию. Также техосмотр необходим при смене владельца, если машина старше четырех лет и на нее отсутствует диагностическая карта. Автовладельцам, которые используют машину в личных целях, проходить техосмотр не нужно. 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Новый порядок выдачи </w:t>
      </w:r>
      <w:proofErr w:type="spellStart"/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медсправок</w:t>
      </w:r>
      <w:proofErr w:type="spellEnd"/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водителям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марта Министерством здравоохранения России </w:t>
      </w:r>
      <w:hyperlink r:id="rId12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утвержден новый порядок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выдачи медицинских справок. Тем водителям, которые были лишены прав за управление автомобилем в состоянии алкогольного опьянения или за отказ от </w:t>
      </w:r>
      <w:proofErr w:type="spellStart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медосвидетельствования</w:t>
      </w:r>
      <w:proofErr w:type="spellEnd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придется сдавать анализы крови и мочи. После этого решение о выдаче справки примет специальная комиссия.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Новые категории жилья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Вводятся понятия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"дом блокированной застройки", "многоквартирный дом" и "малоэтажный жилой комплекс".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Раньше правовой статус некоторых категорий жилья (таких как </w:t>
      </w:r>
      <w:proofErr w:type="spellStart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таунхаус</w:t>
      </w:r>
      <w:proofErr w:type="spellEnd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дуплекс) фактически не был определен. Они относятся к категории жилого дома, но имеют ряд особенностей, согласно которым не являются ни частными, ни многоквартирными. Это доставляло неудобство их владельцам. Теперь пробел устранили.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ранее отмечал председатель Государственной думы Вячеслав Володин, "законопроект позволит устранить правовой пробел, возникший в жилищном законодательстве, и защитит права собственников".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Строительство на сельскохозяйственных землях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марта на земельных участках сельскохозяйственного назначения, принадлежащих крестьянским (фермерским) хозяйствам, разрешено строить жилые дома.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одном участке может быть один дом, в котором не более трех этажей и 500 кв. м. При этом площадь застройки должна быть не более 0,25% от площади земельного участка.</w:t>
      </w:r>
    </w:p>
    <w:p w:rsid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Утилизация компьютерной и бытовой техники 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 марта в России предпринимателям и </w:t>
      </w:r>
      <w:proofErr w:type="spellStart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юрлицам</w:t>
      </w:r>
      <w:proofErr w:type="spellEnd"/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запрещено выбрасывать бытовую технику и компьютеры. Их необходимо будет сдавать в переработку. Остальные россияне, как и раньше, могут утилизировать старую технику в мусорный контейнер.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Свидетельства о смерти в электронном виде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с 1 марта начнут выдавать электронные свидетельства о смерти. Медицинские организации станут вносить все сведения в информационную систему здравоохранения, после чего они будут переданы в Единый реестр ЗАГС, Росстат и другие ведомства. Благодаря этому близким умершего не придется предоставлять документ в госорганы.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Борьба с мошенниками в сфере благотворительности 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использование ящиков для благотворительных сборов лицом, которое не имеет права на такую деятельность, и за несоблюдение требований к установке и использованию таких ящиков </w:t>
      </w:r>
      <w:hyperlink r:id="rId14" w:tgtFrame="_blank" w:history="1">
        <w:r w:rsidRPr="00863367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появится административная ответственность</w:t>
        </w:r>
      </w:hyperlink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Максимальное наказание — штраф до 50 тыс. рублей.</w:t>
      </w:r>
    </w:p>
    <w:p w:rsidR="00863367" w:rsidRPr="00863367" w:rsidRDefault="00863367" w:rsidP="00863367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финансового риска​​​​​​​ банками 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22 марта банки будут оценивать, насколько сомнительные операции проводят их клиенты, и относить их к группе риска совершения подозрительных операций. Если риск большой, то будут ограничения по операциям. Подозрительными являются операции, которые, предположительно, совершаются для легализации преступных доходов и финансирования терроризма.</w:t>
      </w:r>
    </w:p>
    <w:p w:rsidR="00863367" w:rsidRPr="00863367" w:rsidRDefault="00863367" w:rsidP="0086336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позволит уменьшить нагрузку на добросовестных предпринимателей и количество сомнительных операций.</w:t>
      </w:r>
    </w:p>
    <w:p w:rsidR="00DF6B32" w:rsidRPr="00D64D17" w:rsidRDefault="00DF6B32" w:rsidP="00863367">
      <w:pPr>
        <w:spacing w:line="240" w:lineRule="auto"/>
        <w:contextualSpacing/>
        <w:jc w:val="both"/>
        <w:rPr>
          <w:rFonts w:ascii="Arial" w:hAnsi="Arial" w:cs="Arial"/>
          <w:sz w:val="35"/>
          <w:szCs w:val="35"/>
          <w:shd w:val="clear" w:color="auto" w:fill="FFFFFF"/>
        </w:rPr>
      </w:pPr>
    </w:p>
    <w:p w:rsidR="00863367" w:rsidRDefault="00863367" w:rsidP="008633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3367" w:rsidRDefault="00863367" w:rsidP="00DF6B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3367" w:rsidRDefault="00863367" w:rsidP="00DF6B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3367" w:rsidRDefault="00863367" w:rsidP="00DF6B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B32" w:rsidRDefault="00DF6B32" w:rsidP="00DF6B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Курганова М.В. </w:t>
      </w:r>
    </w:p>
    <w:p w:rsidR="00DF6B32" w:rsidRDefault="00DF6B32" w:rsidP="00DF6B3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библиограф - консультант </w:t>
      </w:r>
    </w:p>
    <w:p w:rsidR="00DF6B32" w:rsidRDefault="00DF6B32" w:rsidP="00DF6B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CE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ПИ и ОД </w:t>
      </w:r>
      <w:r w:rsidRPr="002E1CE1">
        <w:rPr>
          <w:rFonts w:ascii="Times New Roman" w:hAnsi="Times New Roman" w:cs="Times New Roman"/>
          <w:sz w:val="24"/>
          <w:szCs w:val="24"/>
        </w:rPr>
        <w:t xml:space="preserve">МКУ «Межпоселенческая библиотека» </w:t>
      </w:r>
    </w:p>
    <w:p w:rsidR="00DF6B32" w:rsidRDefault="00DF6B32" w:rsidP="00DF6B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Олекминского района РС (Я)</w:t>
      </w:r>
    </w:p>
    <w:p w:rsidR="00DF6B32" w:rsidRDefault="00DF6B32" w:rsidP="00DF6B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B32" w:rsidRPr="002A779A" w:rsidRDefault="00DF6B32" w:rsidP="00DF6B32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</w:p>
    <w:p w:rsidR="00247948" w:rsidRDefault="00247948" w:rsidP="008E720A">
      <w:pPr>
        <w:jc w:val="both"/>
      </w:pPr>
    </w:p>
    <w:sectPr w:rsidR="00247948" w:rsidSect="008E720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2C"/>
    <w:rsid w:val="001D56E5"/>
    <w:rsid w:val="00247948"/>
    <w:rsid w:val="00325F13"/>
    <w:rsid w:val="00863367"/>
    <w:rsid w:val="008E720A"/>
    <w:rsid w:val="00A77FF7"/>
    <w:rsid w:val="00C2752C"/>
    <w:rsid w:val="00D64D17"/>
    <w:rsid w:val="00D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D5CD"/>
  <w15:chartTrackingRefBased/>
  <w15:docId w15:val="{98BBFE7E-2C22-4B0D-B415-F1C2EF6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zL9hWxSMIuAAyznp&amp;cacheid=D9B770ED8B0F040A11DF3FF66E02419E&amp;mode=splus&amp;rnd=A5925CA3E7C8C4F0B3511F99838EC0A5&amp;base=LAW&amp;n=386798" TargetMode="External"/><Relationship Id="rId13" Type="http://schemas.openxmlformats.org/officeDocument/2006/relationships/hyperlink" Target="https://tass.ru/nedvizhimost/132047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ss.ru/obschestvo/1729921" TargetMode="External"/><Relationship Id="rId12" Type="http://schemas.openxmlformats.org/officeDocument/2006/relationships/hyperlink" Target="https://tass.ru/obschestvo/130847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ss.ru/obschestvo/13872699" TargetMode="External"/><Relationship Id="rId11" Type="http://schemas.openxmlformats.org/officeDocument/2006/relationships/hyperlink" Target="https://tass.ru/obschestvo/13267833" TargetMode="External"/><Relationship Id="rId5" Type="http://schemas.openxmlformats.org/officeDocument/2006/relationships/hyperlink" Target="https://tass.ru/obschestvo/138607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ass.ru/obschestvo/1333844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ass.ru/ekonomika/11595645" TargetMode="External"/><Relationship Id="rId14" Type="http://schemas.openxmlformats.org/officeDocument/2006/relationships/hyperlink" Target="https://tass.ru/obschestvo/13216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Msarinsa</dc:creator>
  <cp:keywords/>
  <dc:description/>
  <cp:lastModifiedBy>Msarinsa</cp:lastModifiedBy>
  <cp:revision>7</cp:revision>
  <cp:lastPrinted>2022-03-01T01:20:00Z</cp:lastPrinted>
  <dcterms:created xsi:type="dcterms:W3CDTF">2022-02-26T04:27:00Z</dcterms:created>
  <dcterms:modified xsi:type="dcterms:W3CDTF">2022-03-01T01:35:00Z</dcterms:modified>
</cp:coreProperties>
</file>